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61" w:rsidRDefault="008F0703">
      <w:pPr>
        <w:spacing w:line="600" w:lineRule="atLeast"/>
        <w:jc w:val="center"/>
      </w:pPr>
      <w:r>
        <w:rPr>
          <w:rFonts w:ascii="宋体" w:hAnsi="宋体" w:hint="eastAsia"/>
          <w:b/>
          <w:bCs/>
          <w:sz w:val="44"/>
          <w:szCs w:val="44"/>
        </w:rPr>
        <w:t>中国人民财产保险股份有限公司责任保险附加残疾赔偿比例调整保险条款（A）</w:t>
      </w:r>
    </w:p>
    <w:p w:rsidR="00C81761" w:rsidRDefault="008F0703">
      <w:pPr>
        <w:spacing w:line="600" w:lineRule="exact"/>
        <w:jc w:val="center"/>
      </w:pPr>
      <w:r>
        <w:rPr>
          <w:rFonts w:ascii="仿宋_GB2312" w:eastAsia="仿宋_GB2312" w:hint="eastAsia"/>
          <w:b/>
          <w:bCs/>
          <w:sz w:val="32"/>
          <w:szCs w:val="32"/>
        </w:rPr>
        <w:t>投保附加险的条件</w:t>
      </w:r>
    </w:p>
    <w:p w:rsidR="00C81761" w:rsidRDefault="008F0703">
      <w:pPr>
        <w:spacing w:line="600" w:lineRule="exact"/>
        <w:jc w:val="left"/>
      </w:pPr>
      <w:r>
        <w:rPr>
          <w:rFonts w:ascii="仿宋_GB2312" w:eastAsia="仿宋_GB2312"/>
          <w:b/>
          <w:sz w:val="32"/>
          <w:szCs w:val="32"/>
        </w:rPr>
        <w:t>        </w:t>
      </w:r>
      <w:r>
        <w:rPr>
          <w:rFonts w:ascii="仿宋_GB2312" w:eastAsia="仿宋_GB2312" w:hint="eastAsia"/>
          <w:b/>
          <w:sz w:val="32"/>
          <w:szCs w:val="32"/>
        </w:rPr>
        <w:t>第一条</w:t>
      </w:r>
      <w:r>
        <w:rPr>
          <w:rFonts w:ascii="仿宋_GB2312" w:eastAsia="仿宋_GB2312" w:hint="eastAsia"/>
          <w:sz w:val="32"/>
          <w:szCs w:val="32"/>
        </w:rPr>
        <w:t xml:space="preserve"> 本条款系本保险单约定的主险条款的一般附加险条款。</w:t>
      </w:r>
    </w:p>
    <w:p w:rsidR="00C81761" w:rsidRDefault="008F0703">
      <w:pPr>
        <w:spacing w:line="600" w:lineRule="exact"/>
        <w:jc w:val="center"/>
      </w:pPr>
      <w:r>
        <w:rPr>
          <w:rFonts w:ascii="仿宋_GB2312" w:eastAsia="仿宋_GB2312" w:hint="eastAsia"/>
          <w:b/>
          <w:bCs/>
          <w:sz w:val="32"/>
          <w:szCs w:val="32"/>
        </w:rPr>
        <w:t>附加险内容</w:t>
      </w:r>
    </w:p>
    <w:p w:rsidR="00C81761" w:rsidRDefault="008F0703">
      <w:pPr>
        <w:spacing w:line="600" w:lineRule="exact"/>
        <w:jc w:val="left"/>
        <w:rPr>
          <w:rFonts w:ascii="仿宋_GB2312" w:eastAsia="仿宋_GB2312"/>
          <w:sz w:val="32"/>
          <w:szCs w:val="32"/>
        </w:rPr>
      </w:pPr>
      <w:r>
        <w:rPr>
          <w:rFonts w:ascii="仿宋_GB2312" w:eastAsia="仿宋_GB2312"/>
          <w:b/>
          <w:sz w:val="32"/>
          <w:szCs w:val="32"/>
        </w:rPr>
        <w:t>        </w:t>
      </w:r>
      <w:r>
        <w:rPr>
          <w:rFonts w:ascii="仿宋_GB2312" w:eastAsia="仿宋_GB2312" w:hint="eastAsia"/>
          <w:b/>
          <w:sz w:val="32"/>
          <w:szCs w:val="32"/>
        </w:rPr>
        <w:t>第二条</w:t>
      </w:r>
      <w:r>
        <w:rPr>
          <w:rFonts w:ascii="仿宋_GB2312" w:eastAsia="仿宋_GB2312" w:hint="eastAsia"/>
          <w:sz w:val="32"/>
          <w:szCs w:val="32"/>
        </w:rPr>
        <w:t xml:space="preserve"> 经保险合同双方同意，原保险合同中约定的残疾赔偿比例</w:t>
      </w:r>
      <w:proofErr w:type="gramStart"/>
      <w:r>
        <w:rPr>
          <w:rFonts w:ascii="仿宋_GB2312" w:eastAsia="仿宋_GB2312" w:hint="eastAsia"/>
          <w:sz w:val="32"/>
          <w:szCs w:val="32"/>
        </w:rPr>
        <w:t>表调整</w:t>
      </w:r>
      <w:proofErr w:type="gramEnd"/>
      <w:r>
        <w:rPr>
          <w:rFonts w:ascii="仿宋_GB2312" w:eastAsia="仿宋_GB2312" w:hint="eastAsia"/>
          <w:sz w:val="32"/>
          <w:szCs w:val="32"/>
        </w:rPr>
        <w:t xml:space="preserve">如下： </w:t>
      </w:r>
    </w:p>
    <w:p w:rsidR="00C81761" w:rsidRDefault="00C81761">
      <w:pPr>
        <w:spacing w:line="600" w:lineRule="exact"/>
        <w:jc w:val="left"/>
      </w:pPr>
    </w:p>
    <w:tbl>
      <w:tblPr>
        <w:tblW w:w="4000" w:type="pct"/>
        <w:tblInd w:w="8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50"/>
        <w:gridCol w:w="3698"/>
      </w:tblGrid>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残疾程度</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每人伤残责任限额的百分比</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永久丧失全部工作能力或一级伤残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100%</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二级伤残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75</w:t>
            </w:r>
            <w:bookmarkStart w:id="0" w:name="_GoBack"/>
            <w:bookmarkEnd w:id="0"/>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三级伤残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50</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四级伤残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30</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五级伤残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20</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六级伤残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15</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七级伤残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10</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八级伤残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7</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九级伤残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5</w:t>
            </w:r>
            <w:r w:rsidR="008F0703">
              <w:rPr>
                <w:rFonts w:ascii="宋体" w:hAnsi="宋体" w:hint="eastAsia"/>
                <w:sz w:val="24"/>
                <w:szCs w:val="24"/>
              </w:rPr>
              <w:t>%</w:t>
            </w:r>
          </w:p>
        </w:tc>
      </w:tr>
      <w:tr w:rsidR="00C81761">
        <w:tc>
          <w:tcPr>
            <w:tcW w:w="3642" w:type="dxa"/>
            <w:tcBorders>
              <w:top w:val="single" w:sz="4" w:space="0" w:color="auto"/>
              <w:left w:val="single" w:sz="4" w:space="0" w:color="auto"/>
              <w:bottom w:val="single" w:sz="4" w:space="0" w:color="auto"/>
              <w:right w:val="single" w:sz="4" w:space="0" w:color="auto"/>
            </w:tcBorders>
            <w:hideMark/>
          </w:tcPr>
          <w:p w:rsidR="00C81761" w:rsidRDefault="008F0703">
            <w:pPr>
              <w:jc w:val="left"/>
              <w:rPr>
                <w:rFonts w:ascii="宋体" w:hAnsi="宋体"/>
                <w:sz w:val="24"/>
                <w:szCs w:val="24"/>
              </w:rPr>
            </w:pPr>
            <w:r>
              <w:rPr>
                <w:rFonts w:ascii="宋体" w:hAnsi="宋体" w:hint="eastAsia"/>
                <w:sz w:val="24"/>
                <w:szCs w:val="24"/>
              </w:rPr>
              <w:t>十级伤残</w:t>
            </w:r>
          </w:p>
        </w:tc>
        <w:tc>
          <w:tcPr>
            <w:tcW w:w="3787" w:type="dxa"/>
            <w:tcBorders>
              <w:top w:val="single" w:sz="4" w:space="0" w:color="auto"/>
              <w:left w:val="single" w:sz="4" w:space="0" w:color="auto"/>
              <w:bottom w:val="single" w:sz="4" w:space="0" w:color="auto"/>
              <w:right w:val="single" w:sz="4" w:space="0" w:color="auto"/>
            </w:tcBorders>
            <w:hideMark/>
          </w:tcPr>
          <w:p w:rsidR="00C81761" w:rsidRDefault="00C52FBE">
            <w:pPr>
              <w:jc w:val="left"/>
              <w:rPr>
                <w:rFonts w:ascii="宋体" w:hAnsi="宋体"/>
                <w:sz w:val="24"/>
                <w:szCs w:val="24"/>
              </w:rPr>
            </w:pPr>
            <w:r>
              <w:rPr>
                <w:rFonts w:ascii="宋体" w:hAnsi="宋体"/>
                <w:sz w:val="24"/>
                <w:szCs w:val="24"/>
              </w:rPr>
              <w:t>3</w:t>
            </w:r>
            <w:r w:rsidR="008F0703">
              <w:rPr>
                <w:rFonts w:ascii="宋体" w:hAnsi="宋体" w:hint="eastAsia"/>
                <w:sz w:val="24"/>
                <w:szCs w:val="24"/>
              </w:rPr>
              <w:t>%</w:t>
            </w:r>
          </w:p>
        </w:tc>
      </w:tr>
    </w:tbl>
    <w:p w:rsidR="00C81761" w:rsidRDefault="008F0703">
      <w:pPr>
        <w:spacing w:line="600" w:lineRule="exact"/>
        <w:jc w:val="center"/>
      </w:pPr>
      <w:r>
        <w:rPr>
          <w:rFonts w:ascii="仿宋_GB2312" w:eastAsia="仿宋_GB2312" w:hint="eastAsia"/>
          <w:b/>
          <w:bCs/>
          <w:sz w:val="32"/>
          <w:szCs w:val="32"/>
        </w:rPr>
        <w:t>主险与附加险关系</w:t>
      </w:r>
    </w:p>
    <w:p w:rsidR="008F0703" w:rsidRDefault="008F0703">
      <w:pPr>
        <w:spacing w:line="600" w:lineRule="exact"/>
        <w:jc w:val="left"/>
      </w:pPr>
      <w:r>
        <w:rPr>
          <w:rFonts w:ascii="仿宋_GB2312" w:eastAsia="仿宋_GB2312"/>
          <w:b/>
          <w:sz w:val="32"/>
          <w:szCs w:val="32"/>
        </w:rPr>
        <w:t>        </w:t>
      </w:r>
      <w:r>
        <w:rPr>
          <w:rFonts w:ascii="仿宋_GB2312" w:eastAsia="仿宋_GB2312" w:hint="eastAsia"/>
          <w:b/>
          <w:sz w:val="32"/>
          <w:szCs w:val="32"/>
        </w:rPr>
        <w:t>第三条</w:t>
      </w:r>
      <w:r>
        <w:rPr>
          <w:rFonts w:ascii="仿宋_GB2312" w:eastAsia="仿宋_GB2312" w:hint="eastAsia"/>
          <w:sz w:val="32"/>
          <w:szCs w:val="32"/>
        </w:rPr>
        <w:t xml:space="preserve"> 凡涉及本附加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的约定，均应采用书面形式。主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与本附加</w:t>
      </w:r>
      <w:proofErr w:type="gramStart"/>
      <w:r>
        <w:rPr>
          <w:rFonts w:ascii="仿宋_GB2312" w:eastAsia="仿宋_GB2312" w:hint="eastAsia"/>
          <w:sz w:val="32"/>
          <w:szCs w:val="32"/>
        </w:rPr>
        <w:t>险合同相</w:t>
      </w:r>
      <w:proofErr w:type="gramEnd"/>
      <w:r>
        <w:rPr>
          <w:rFonts w:ascii="仿宋_GB2312" w:eastAsia="仿宋_GB2312" w:hint="eastAsia"/>
          <w:sz w:val="32"/>
          <w:szCs w:val="32"/>
        </w:rPr>
        <w:t>抵触之处，以本附加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为准；本附加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未约定事项，以主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为准。主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效力终止，本附加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效力亦同时终止；主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无效，本附加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亦无效。</w:t>
      </w:r>
    </w:p>
    <w:sectPr w:rsidR="008F0703">
      <w:pgSz w:w="11906" w:h="16838"/>
      <w:pgMar w:top="1361" w:right="1418"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9E"/>
    <w:rsid w:val="00155860"/>
    <w:rsid w:val="005B459E"/>
    <w:rsid w:val="008F0703"/>
    <w:rsid w:val="00C52FBE"/>
    <w:rsid w:val="00C8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9233A-D22D-4DC4-B65C-91633201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Calibri" w:eastAsia="宋体" w:hAnsi="Calibri" w:cs="Calibri"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Calibri" w:eastAsia="宋体" w:hAnsi="Calibri" w:cs="Calibri" w:hint="default"/>
      <w:sz w:val="18"/>
      <w:szCs w:val="18"/>
    </w:rPr>
  </w:style>
  <w:style w:type="paragraph" w:customStyle="1" w:styleId="msolistparagraph0">
    <w:name w:val="msolist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陶海峰</dc:creator>
  <cp:keywords/>
  <dc:description/>
  <cp:lastModifiedBy>孙利芳</cp:lastModifiedBy>
  <cp:revision>2</cp:revision>
  <dcterms:created xsi:type="dcterms:W3CDTF">2018-02-13T07:04:00Z</dcterms:created>
  <dcterms:modified xsi:type="dcterms:W3CDTF">2018-02-13T07:04:00Z</dcterms:modified>
</cp:coreProperties>
</file>